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36BBF" w:rsidRDefault="00636BBF" w:rsidP="00636BBF">
      <w:pPr>
        <w:jc w:val="center"/>
        <w:rPr>
          <w:rFonts w:ascii="Arial" w:hAnsi="Arial" w:cs="Arial"/>
          <w:b/>
          <w:bCs/>
          <w:color w:val="003B71"/>
          <w:lang w:val="pt-PT"/>
        </w:rPr>
      </w:pPr>
    </w:p>
    <w:p w:rsidR="00636BBF" w:rsidRPr="00636BBF" w:rsidRDefault="00636BBF" w:rsidP="00636BBF">
      <w:pPr>
        <w:jc w:val="center"/>
        <w:rPr>
          <w:rFonts w:ascii="Arial" w:hAnsi="Arial" w:cs="Arial"/>
          <w:b/>
          <w:bCs/>
          <w:color w:val="003B71"/>
          <w:lang w:val="pt-PT"/>
        </w:rPr>
      </w:pPr>
      <w:r w:rsidRPr="00636BBF">
        <w:rPr>
          <w:rFonts w:ascii="Arial" w:hAnsi="Arial" w:cs="Arial"/>
          <w:b/>
          <w:bCs/>
          <w:color w:val="003B71"/>
          <w:lang w:val="pt-PT"/>
        </w:rPr>
        <w:t>BANCO FINANTIA LUCRA €</w:t>
      </w:r>
      <w:r w:rsidR="00180C2B">
        <w:rPr>
          <w:rFonts w:ascii="Arial" w:hAnsi="Arial" w:cs="Arial"/>
          <w:b/>
          <w:bCs/>
          <w:color w:val="003B71"/>
          <w:lang w:val="pt-PT"/>
        </w:rPr>
        <w:t>11</w:t>
      </w:r>
      <w:r w:rsidR="002C7764">
        <w:rPr>
          <w:rFonts w:ascii="Arial" w:hAnsi="Arial" w:cs="Arial"/>
          <w:b/>
          <w:bCs/>
          <w:color w:val="003B71"/>
          <w:lang w:val="pt-PT"/>
        </w:rPr>
        <w:t>,</w:t>
      </w:r>
      <w:r w:rsidR="00180C2B">
        <w:rPr>
          <w:rFonts w:ascii="Arial" w:hAnsi="Arial" w:cs="Arial"/>
          <w:b/>
          <w:bCs/>
          <w:color w:val="003B71"/>
          <w:lang w:val="pt-PT"/>
        </w:rPr>
        <w:t>8</w:t>
      </w:r>
      <w:r w:rsidRPr="00636BBF">
        <w:rPr>
          <w:rFonts w:ascii="Arial" w:hAnsi="Arial" w:cs="Arial"/>
          <w:b/>
          <w:bCs/>
          <w:color w:val="003B71"/>
          <w:lang w:val="pt-PT"/>
        </w:rPr>
        <w:t xml:space="preserve"> MILHÕES NO 1º SEMESTRE DE 20</w:t>
      </w:r>
      <w:r w:rsidR="002C7764">
        <w:rPr>
          <w:rFonts w:ascii="Arial" w:hAnsi="Arial" w:cs="Arial"/>
          <w:b/>
          <w:bCs/>
          <w:color w:val="003B71"/>
          <w:lang w:val="pt-PT"/>
        </w:rPr>
        <w:t>2</w:t>
      </w:r>
      <w:r w:rsidR="00180C2B">
        <w:rPr>
          <w:rFonts w:ascii="Arial" w:hAnsi="Arial" w:cs="Arial"/>
          <w:b/>
          <w:bCs/>
          <w:color w:val="003B71"/>
          <w:lang w:val="pt-PT"/>
        </w:rPr>
        <w:t>1</w:t>
      </w:r>
    </w:p>
    <w:p w:rsidR="00636BBF" w:rsidRPr="002F2126" w:rsidRDefault="00636BBF" w:rsidP="00636BBF">
      <w:pPr>
        <w:jc w:val="center"/>
        <w:rPr>
          <w:rFonts w:ascii="Arial" w:hAnsi="Arial" w:cs="Arial"/>
          <w:b/>
          <w:bCs/>
          <w:color w:val="003B71"/>
          <w:lang w:val="pt-PT"/>
        </w:rPr>
      </w:pPr>
      <w:r w:rsidRPr="002F2126">
        <w:rPr>
          <w:rFonts w:ascii="Arial" w:hAnsi="Arial" w:cs="Arial"/>
          <w:b/>
          <w:bCs/>
          <w:color w:val="003B71"/>
          <w:lang w:val="pt-PT"/>
        </w:rPr>
        <w:t xml:space="preserve">E </w:t>
      </w:r>
      <w:r w:rsidR="002C7764" w:rsidRPr="002F2126">
        <w:rPr>
          <w:rFonts w:ascii="Arial" w:hAnsi="Arial" w:cs="Arial"/>
          <w:b/>
          <w:bCs/>
          <w:color w:val="003B71"/>
          <w:lang w:val="pt-PT"/>
        </w:rPr>
        <w:t xml:space="preserve">APRESENTA </w:t>
      </w:r>
      <w:r w:rsidRPr="002F2126">
        <w:rPr>
          <w:rFonts w:ascii="Arial" w:hAnsi="Arial" w:cs="Arial"/>
          <w:b/>
          <w:bCs/>
          <w:color w:val="003B71"/>
          <w:lang w:val="pt-PT"/>
        </w:rPr>
        <w:t xml:space="preserve">COMMON EQUITY TIER 1 (CET1) </w:t>
      </w:r>
      <w:r w:rsidR="002C7764" w:rsidRPr="002F2126">
        <w:rPr>
          <w:rFonts w:ascii="Arial" w:hAnsi="Arial" w:cs="Arial"/>
          <w:b/>
          <w:bCs/>
          <w:color w:val="003B71"/>
          <w:lang w:val="pt-PT"/>
        </w:rPr>
        <w:t>DE</w:t>
      </w:r>
      <w:r w:rsidRPr="002F2126">
        <w:rPr>
          <w:rFonts w:ascii="Arial" w:hAnsi="Arial" w:cs="Arial"/>
          <w:b/>
          <w:bCs/>
          <w:color w:val="003B71"/>
          <w:lang w:val="pt-PT"/>
        </w:rPr>
        <w:t xml:space="preserve"> 2</w:t>
      </w:r>
      <w:r w:rsidR="00180C2B" w:rsidRPr="002F2126">
        <w:rPr>
          <w:rFonts w:ascii="Arial" w:hAnsi="Arial" w:cs="Arial"/>
          <w:b/>
          <w:bCs/>
          <w:color w:val="003B71"/>
          <w:lang w:val="pt-PT"/>
        </w:rPr>
        <w:t>7</w:t>
      </w:r>
      <w:r w:rsidR="002C7764" w:rsidRPr="002F2126">
        <w:rPr>
          <w:rFonts w:ascii="Arial" w:hAnsi="Arial" w:cs="Arial"/>
          <w:b/>
          <w:bCs/>
          <w:color w:val="003B71"/>
          <w:lang w:val="pt-PT"/>
        </w:rPr>
        <w:t>,</w:t>
      </w:r>
      <w:r w:rsidR="00180C2B" w:rsidRPr="002F2126">
        <w:rPr>
          <w:rFonts w:ascii="Arial" w:hAnsi="Arial" w:cs="Arial"/>
          <w:b/>
          <w:bCs/>
          <w:color w:val="003B71"/>
          <w:lang w:val="pt-PT"/>
        </w:rPr>
        <w:t>1</w:t>
      </w:r>
      <w:r w:rsidRPr="002F2126">
        <w:rPr>
          <w:rFonts w:ascii="Arial" w:hAnsi="Arial" w:cs="Arial"/>
          <w:b/>
          <w:bCs/>
          <w:color w:val="003B71"/>
          <w:lang w:val="pt-PT"/>
        </w:rPr>
        <w:t>%</w:t>
      </w:r>
    </w:p>
    <w:p w:rsidR="00B0491C" w:rsidRPr="002F2126" w:rsidRDefault="00B0491C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</w:p>
    <w:p w:rsidR="00C77FF9" w:rsidRPr="001E309C" w:rsidRDefault="001E309C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  <w:r w:rsidRPr="001E309C">
        <w:rPr>
          <w:rFonts w:ascii="Arial" w:hAnsi="Arial" w:cs="Arial"/>
          <w:szCs w:val="20"/>
          <w:lang w:val="pt-PT"/>
        </w:rPr>
        <w:t xml:space="preserve">O Banco Finantia </w:t>
      </w:r>
      <w:r>
        <w:rPr>
          <w:rFonts w:ascii="Arial" w:hAnsi="Arial" w:cs="Arial"/>
          <w:color w:val="4D4D4D"/>
          <w:szCs w:val="20"/>
          <w:lang w:val="pt-PT"/>
        </w:rPr>
        <w:t xml:space="preserve">( </w:t>
      </w:r>
      <w:hyperlink r:id="rId7" w:history="1">
        <w:r w:rsidRPr="00802EE6">
          <w:rPr>
            <w:rStyle w:val="Hyperlink"/>
            <w:rFonts w:ascii="Arial" w:hAnsi="Arial" w:cs="Arial"/>
            <w:szCs w:val="20"/>
            <w:lang w:val="pt-PT"/>
          </w:rPr>
          <w:t>www.finantia.com</w:t>
        </w:r>
      </w:hyperlink>
      <w:r>
        <w:rPr>
          <w:rFonts w:ascii="Arial" w:hAnsi="Arial" w:cs="Arial"/>
          <w:color w:val="4D4D4D"/>
          <w:szCs w:val="20"/>
          <w:lang w:val="pt-PT"/>
        </w:rPr>
        <w:t xml:space="preserve">) </w:t>
      </w:r>
      <w:r w:rsidRPr="001E309C">
        <w:rPr>
          <w:rFonts w:ascii="Arial" w:hAnsi="Arial" w:cs="Arial"/>
          <w:szCs w:val="20"/>
          <w:lang w:val="pt-PT"/>
        </w:rPr>
        <w:t xml:space="preserve">obteve um </w:t>
      </w:r>
      <w:r w:rsidR="00C77FF9" w:rsidRPr="001E309C">
        <w:rPr>
          <w:rFonts w:ascii="Arial" w:hAnsi="Arial" w:cs="Arial"/>
          <w:b/>
          <w:bCs/>
          <w:szCs w:val="20"/>
          <w:lang w:val="pt-PT"/>
        </w:rPr>
        <w:t>lucro líquido consolidado</w:t>
      </w:r>
      <w:r w:rsidR="00C77FF9" w:rsidRPr="001E309C">
        <w:rPr>
          <w:rFonts w:ascii="Arial" w:hAnsi="Arial" w:cs="Arial"/>
          <w:szCs w:val="20"/>
          <w:lang w:val="pt-PT"/>
        </w:rPr>
        <w:t xml:space="preserve"> de </w:t>
      </w:r>
      <w:r w:rsidR="00C43CCE" w:rsidRPr="001E309C">
        <w:rPr>
          <w:rFonts w:ascii="Arial" w:hAnsi="Arial" w:cs="Arial"/>
          <w:b/>
          <w:szCs w:val="20"/>
          <w:lang w:val="pt-PT"/>
        </w:rPr>
        <w:t>€</w:t>
      </w:r>
      <w:r w:rsidR="00180C2B" w:rsidRPr="001E309C">
        <w:rPr>
          <w:rFonts w:ascii="Arial" w:hAnsi="Arial" w:cs="Arial"/>
          <w:b/>
          <w:szCs w:val="20"/>
          <w:lang w:val="pt-PT"/>
        </w:rPr>
        <w:t>11,8</w:t>
      </w:r>
      <w:r w:rsidR="00C77FF9" w:rsidRPr="001E309C">
        <w:rPr>
          <w:rFonts w:ascii="Arial" w:hAnsi="Arial" w:cs="Arial"/>
          <w:b/>
          <w:szCs w:val="20"/>
          <w:lang w:val="pt-PT"/>
        </w:rPr>
        <w:t xml:space="preserve"> milhões</w:t>
      </w:r>
      <w:r w:rsidR="00C77FF9" w:rsidRPr="001E309C">
        <w:rPr>
          <w:rFonts w:ascii="Arial" w:hAnsi="Arial" w:cs="Arial"/>
          <w:szCs w:val="20"/>
          <w:lang w:val="pt-PT"/>
        </w:rPr>
        <w:t xml:space="preserve"> de euros no primeiro semestre de 202</w:t>
      </w:r>
      <w:r w:rsidR="00180C2B" w:rsidRPr="001E309C">
        <w:rPr>
          <w:rFonts w:ascii="Arial" w:hAnsi="Arial" w:cs="Arial"/>
          <w:szCs w:val="20"/>
          <w:lang w:val="pt-PT"/>
        </w:rPr>
        <w:t>1</w:t>
      </w:r>
      <w:r w:rsidR="00B23DEF" w:rsidRPr="001E309C">
        <w:rPr>
          <w:rFonts w:ascii="Arial" w:hAnsi="Arial" w:cs="Arial"/>
          <w:szCs w:val="20"/>
          <w:lang w:val="pt-PT"/>
        </w:rPr>
        <w:t xml:space="preserve">, </w:t>
      </w:r>
      <w:r w:rsidR="00C80E17" w:rsidRPr="001E309C">
        <w:rPr>
          <w:rFonts w:ascii="Arial" w:hAnsi="Arial" w:cs="Arial"/>
          <w:szCs w:val="20"/>
          <w:lang w:val="pt-PT"/>
        </w:rPr>
        <w:t xml:space="preserve">um aumento de 25% </w:t>
      </w:r>
      <w:r w:rsidR="00B23DEF" w:rsidRPr="001E309C">
        <w:rPr>
          <w:rFonts w:ascii="Arial" w:hAnsi="Arial" w:cs="Arial"/>
          <w:szCs w:val="20"/>
          <w:lang w:val="pt-PT"/>
        </w:rPr>
        <w:t xml:space="preserve">face aos </w:t>
      </w:r>
      <w:r w:rsidR="00E22F07" w:rsidRPr="001E309C">
        <w:rPr>
          <w:rFonts w:ascii="Arial" w:hAnsi="Arial" w:cs="Arial"/>
          <w:szCs w:val="20"/>
          <w:lang w:val="pt-PT"/>
        </w:rPr>
        <w:t>€</w:t>
      </w:r>
      <w:r w:rsidR="00180C2B" w:rsidRPr="001E309C">
        <w:rPr>
          <w:rFonts w:ascii="Arial" w:hAnsi="Arial" w:cs="Arial"/>
          <w:szCs w:val="20"/>
          <w:lang w:val="pt-PT"/>
        </w:rPr>
        <w:t>9,4</w:t>
      </w:r>
      <w:r w:rsidR="00E22F07" w:rsidRPr="001E309C">
        <w:rPr>
          <w:rFonts w:ascii="Arial" w:hAnsi="Arial" w:cs="Arial"/>
          <w:szCs w:val="20"/>
          <w:lang w:val="pt-PT"/>
        </w:rPr>
        <w:t xml:space="preserve"> milhões registados</w:t>
      </w:r>
      <w:r w:rsidR="00A34190" w:rsidRPr="001E309C">
        <w:rPr>
          <w:rFonts w:ascii="Arial" w:hAnsi="Arial" w:cs="Arial"/>
          <w:szCs w:val="20"/>
          <w:lang w:val="pt-PT"/>
        </w:rPr>
        <w:t xml:space="preserve"> </w:t>
      </w:r>
      <w:r w:rsidR="00C43CCE" w:rsidRPr="001E309C">
        <w:rPr>
          <w:rFonts w:ascii="Arial" w:hAnsi="Arial" w:cs="Arial"/>
          <w:szCs w:val="20"/>
          <w:lang w:val="pt-PT"/>
        </w:rPr>
        <w:t>no mesmo período de 20</w:t>
      </w:r>
      <w:r w:rsidR="00180C2B" w:rsidRPr="001E309C">
        <w:rPr>
          <w:rFonts w:ascii="Arial" w:hAnsi="Arial" w:cs="Arial"/>
          <w:szCs w:val="20"/>
          <w:lang w:val="pt-PT"/>
        </w:rPr>
        <w:t>20</w:t>
      </w:r>
      <w:r w:rsidR="00C77FF9" w:rsidRPr="001E309C">
        <w:rPr>
          <w:rFonts w:ascii="Arial" w:hAnsi="Arial" w:cs="Arial"/>
          <w:szCs w:val="20"/>
          <w:lang w:val="pt-PT"/>
        </w:rPr>
        <w:t>.</w:t>
      </w:r>
    </w:p>
    <w:p w:rsidR="00180C2B" w:rsidRPr="001E309C" w:rsidRDefault="00180C2B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  <w:r w:rsidRPr="001E309C">
        <w:rPr>
          <w:rFonts w:ascii="Arial" w:hAnsi="Arial" w:cs="Arial"/>
          <w:szCs w:val="20"/>
          <w:lang w:val="pt-PT"/>
        </w:rPr>
        <w:t xml:space="preserve">A </w:t>
      </w:r>
      <w:r w:rsidRPr="001E309C">
        <w:rPr>
          <w:rFonts w:ascii="Arial" w:hAnsi="Arial" w:cs="Arial"/>
          <w:b/>
          <w:szCs w:val="20"/>
          <w:lang w:val="pt-PT"/>
        </w:rPr>
        <w:t>solidez financeira</w:t>
      </w:r>
      <w:r w:rsidRPr="001E309C">
        <w:rPr>
          <w:rFonts w:ascii="Arial" w:hAnsi="Arial" w:cs="Arial"/>
          <w:szCs w:val="20"/>
          <w:lang w:val="pt-PT"/>
        </w:rPr>
        <w:t xml:space="preserve">, medida pelo rácio </w:t>
      </w:r>
      <w:proofErr w:type="spellStart"/>
      <w:r w:rsidRPr="001E309C">
        <w:rPr>
          <w:rFonts w:ascii="Arial" w:hAnsi="Arial" w:cs="Arial"/>
          <w:i/>
          <w:szCs w:val="20"/>
          <w:lang w:val="pt-PT"/>
        </w:rPr>
        <w:t>Common</w:t>
      </w:r>
      <w:proofErr w:type="spellEnd"/>
      <w:r w:rsidRPr="001E309C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1E309C">
        <w:rPr>
          <w:rFonts w:ascii="Arial" w:hAnsi="Arial" w:cs="Arial"/>
          <w:i/>
          <w:szCs w:val="20"/>
          <w:lang w:val="pt-PT"/>
        </w:rPr>
        <w:t>Equity</w:t>
      </w:r>
      <w:proofErr w:type="spellEnd"/>
      <w:r w:rsidRPr="001E309C">
        <w:rPr>
          <w:rFonts w:ascii="Arial" w:hAnsi="Arial" w:cs="Arial"/>
          <w:i/>
          <w:szCs w:val="20"/>
          <w:lang w:val="pt-PT"/>
        </w:rPr>
        <w:t xml:space="preserve"> </w:t>
      </w:r>
      <w:proofErr w:type="spellStart"/>
      <w:r w:rsidRPr="001E309C">
        <w:rPr>
          <w:rFonts w:ascii="Arial" w:hAnsi="Arial" w:cs="Arial"/>
          <w:i/>
          <w:szCs w:val="20"/>
          <w:lang w:val="pt-PT"/>
        </w:rPr>
        <w:t>Tier</w:t>
      </w:r>
      <w:proofErr w:type="spellEnd"/>
      <w:r w:rsidRPr="001E309C">
        <w:rPr>
          <w:rFonts w:ascii="Arial" w:hAnsi="Arial" w:cs="Arial"/>
          <w:i/>
          <w:szCs w:val="20"/>
          <w:lang w:val="pt-PT"/>
        </w:rPr>
        <w:t xml:space="preserve"> </w:t>
      </w:r>
      <w:r w:rsidRPr="001E309C">
        <w:rPr>
          <w:rFonts w:ascii="Arial" w:hAnsi="Arial" w:cs="Arial"/>
          <w:szCs w:val="20"/>
          <w:lang w:val="pt-PT"/>
        </w:rPr>
        <w:t>1 (CET1), cifrou-se em 27,1%</w:t>
      </w:r>
      <w:r w:rsidR="00F030FE" w:rsidRPr="001E309C">
        <w:rPr>
          <w:rFonts w:ascii="Arial" w:hAnsi="Arial" w:cs="Arial"/>
          <w:szCs w:val="20"/>
          <w:lang w:val="pt-PT"/>
        </w:rPr>
        <w:t>,</w:t>
      </w:r>
      <w:r w:rsidRPr="001E309C">
        <w:rPr>
          <w:rFonts w:ascii="Arial" w:hAnsi="Arial" w:cs="Arial"/>
          <w:szCs w:val="20"/>
          <w:lang w:val="pt-PT"/>
        </w:rPr>
        <w:t xml:space="preserve"> entre os mais elevados d</w:t>
      </w:r>
      <w:r w:rsidR="00765362">
        <w:rPr>
          <w:rFonts w:ascii="Arial" w:hAnsi="Arial" w:cs="Arial"/>
          <w:szCs w:val="20"/>
          <w:lang w:val="pt-PT"/>
        </w:rPr>
        <w:t>a</w:t>
      </w:r>
      <w:r w:rsidRPr="001E309C">
        <w:rPr>
          <w:rFonts w:ascii="Arial" w:hAnsi="Arial" w:cs="Arial"/>
          <w:szCs w:val="20"/>
          <w:lang w:val="pt-PT"/>
        </w:rPr>
        <w:t xml:space="preserve"> banca europeia. </w:t>
      </w:r>
    </w:p>
    <w:p w:rsidR="00941CCA" w:rsidRPr="001E309C" w:rsidRDefault="00636BBF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  <w:r w:rsidRPr="001E309C">
        <w:rPr>
          <w:rFonts w:ascii="Arial" w:hAnsi="Arial" w:cs="Arial"/>
          <w:szCs w:val="20"/>
          <w:lang w:val="pt-PT"/>
        </w:rPr>
        <w:t xml:space="preserve">A </w:t>
      </w:r>
      <w:r w:rsidRPr="001E309C">
        <w:rPr>
          <w:rFonts w:ascii="Arial" w:hAnsi="Arial" w:cs="Arial"/>
          <w:b/>
          <w:szCs w:val="20"/>
          <w:lang w:val="pt-PT"/>
        </w:rPr>
        <w:t>margem financeira</w:t>
      </w:r>
      <w:r w:rsidR="00180C2B" w:rsidRPr="001E309C">
        <w:rPr>
          <w:rFonts w:ascii="Arial" w:hAnsi="Arial" w:cs="Arial"/>
          <w:b/>
          <w:szCs w:val="20"/>
          <w:lang w:val="pt-PT"/>
        </w:rPr>
        <w:t xml:space="preserve"> líquida de coberturas</w:t>
      </w:r>
      <w:r w:rsidRPr="001E309C">
        <w:rPr>
          <w:rFonts w:ascii="Arial" w:hAnsi="Arial" w:cs="Arial"/>
          <w:szCs w:val="20"/>
          <w:lang w:val="pt-PT"/>
        </w:rPr>
        <w:t xml:space="preserve"> </w:t>
      </w:r>
      <w:r w:rsidR="00180C2B" w:rsidRPr="001E309C">
        <w:rPr>
          <w:rFonts w:ascii="Arial" w:hAnsi="Arial" w:cs="Arial"/>
          <w:szCs w:val="20"/>
          <w:lang w:val="pt-PT"/>
        </w:rPr>
        <w:t xml:space="preserve">aumentou </w:t>
      </w:r>
      <w:r w:rsidR="00941CCA" w:rsidRPr="001E309C">
        <w:rPr>
          <w:rFonts w:ascii="Arial" w:hAnsi="Arial" w:cs="Arial"/>
          <w:szCs w:val="20"/>
          <w:lang w:val="pt-PT"/>
        </w:rPr>
        <w:t xml:space="preserve">para €18,5 milhões, um aumento de 20% </w:t>
      </w:r>
      <w:r w:rsidR="00C25F08" w:rsidRPr="001E309C">
        <w:rPr>
          <w:rFonts w:ascii="Arial" w:hAnsi="Arial" w:cs="Arial"/>
          <w:szCs w:val="20"/>
          <w:lang w:val="pt-PT"/>
        </w:rPr>
        <w:t>face aos €</w:t>
      </w:r>
      <w:r w:rsidR="00941CCA" w:rsidRPr="001E309C">
        <w:rPr>
          <w:rFonts w:ascii="Arial" w:hAnsi="Arial" w:cs="Arial"/>
          <w:szCs w:val="20"/>
          <w:lang w:val="pt-PT"/>
        </w:rPr>
        <w:t>15,4</w:t>
      </w:r>
      <w:r w:rsidR="00C25F08" w:rsidRPr="001E309C">
        <w:rPr>
          <w:rFonts w:ascii="Arial" w:hAnsi="Arial" w:cs="Arial"/>
          <w:szCs w:val="20"/>
          <w:lang w:val="pt-PT"/>
        </w:rPr>
        <w:t xml:space="preserve"> milhões registados n</w:t>
      </w:r>
      <w:r w:rsidRPr="001E309C">
        <w:rPr>
          <w:rFonts w:ascii="Arial" w:hAnsi="Arial" w:cs="Arial"/>
          <w:szCs w:val="20"/>
          <w:lang w:val="pt-PT"/>
        </w:rPr>
        <w:t>o período homólogo do ano anterior</w:t>
      </w:r>
      <w:r w:rsidR="00941CCA" w:rsidRPr="001E309C">
        <w:rPr>
          <w:rFonts w:ascii="Arial" w:hAnsi="Arial" w:cs="Arial"/>
          <w:szCs w:val="20"/>
          <w:lang w:val="pt-PT"/>
        </w:rPr>
        <w:t xml:space="preserve">, </w:t>
      </w:r>
      <w:r w:rsidR="00426C0E" w:rsidRPr="001E309C">
        <w:rPr>
          <w:rFonts w:ascii="Arial" w:hAnsi="Arial" w:cs="Arial"/>
          <w:szCs w:val="20"/>
          <w:lang w:val="pt-PT"/>
        </w:rPr>
        <w:t>principalmente</w:t>
      </w:r>
      <w:r w:rsidR="00941CCA" w:rsidRPr="001E309C">
        <w:rPr>
          <w:rFonts w:ascii="Arial" w:hAnsi="Arial" w:cs="Arial"/>
          <w:szCs w:val="20"/>
          <w:lang w:val="pt-PT"/>
        </w:rPr>
        <w:t xml:space="preserve"> devido à redução dos custos de cobertura de taxa de juro e cambial.</w:t>
      </w:r>
    </w:p>
    <w:p w:rsidR="00941CCA" w:rsidRPr="001E309C" w:rsidRDefault="00941CCA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  <w:r w:rsidRPr="001E309C">
        <w:rPr>
          <w:rFonts w:ascii="Arial" w:hAnsi="Arial" w:cs="Arial"/>
          <w:szCs w:val="20"/>
          <w:lang w:val="pt-PT"/>
        </w:rPr>
        <w:t xml:space="preserve">As </w:t>
      </w:r>
      <w:r w:rsidR="0003757E">
        <w:rPr>
          <w:rFonts w:ascii="Arial" w:hAnsi="Arial" w:cs="Arial"/>
          <w:b/>
          <w:szCs w:val="20"/>
          <w:lang w:val="pt-PT"/>
        </w:rPr>
        <w:t xml:space="preserve">operações financeiras, </w:t>
      </w:r>
      <w:r w:rsidRPr="001E309C">
        <w:rPr>
          <w:rFonts w:ascii="Arial" w:hAnsi="Arial" w:cs="Arial"/>
          <w:b/>
          <w:szCs w:val="20"/>
          <w:lang w:val="pt-PT"/>
        </w:rPr>
        <w:t>comissões e outros proveitos</w:t>
      </w:r>
      <w:r w:rsidRPr="001E309C">
        <w:rPr>
          <w:rFonts w:ascii="Arial" w:hAnsi="Arial" w:cs="Arial"/>
          <w:szCs w:val="20"/>
          <w:lang w:val="pt-PT"/>
        </w:rPr>
        <w:t xml:space="preserve"> </w:t>
      </w:r>
      <w:r w:rsidR="001E309C" w:rsidRPr="001E309C">
        <w:rPr>
          <w:rFonts w:ascii="Arial" w:hAnsi="Arial" w:cs="Arial"/>
          <w:szCs w:val="20"/>
          <w:lang w:val="pt-PT"/>
        </w:rPr>
        <w:t xml:space="preserve">situaram-se </w:t>
      </w:r>
      <w:proofErr w:type="gramStart"/>
      <w:r w:rsidR="001E309C" w:rsidRPr="001E309C">
        <w:rPr>
          <w:rFonts w:ascii="Arial" w:hAnsi="Arial" w:cs="Arial"/>
          <w:szCs w:val="20"/>
          <w:lang w:val="pt-PT"/>
        </w:rPr>
        <w:t xml:space="preserve">em </w:t>
      </w:r>
      <w:r w:rsidR="001E309C">
        <w:rPr>
          <w:rFonts w:ascii="Arial" w:hAnsi="Arial" w:cs="Arial"/>
          <w:szCs w:val="20"/>
          <w:lang w:val="pt-PT"/>
        </w:rPr>
        <w:t xml:space="preserve"> </w:t>
      </w:r>
      <w:r w:rsidRPr="001E309C">
        <w:rPr>
          <w:rFonts w:ascii="Arial" w:hAnsi="Arial" w:cs="Arial"/>
          <w:szCs w:val="20"/>
          <w:lang w:val="pt-PT"/>
        </w:rPr>
        <w:t>€</w:t>
      </w:r>
      <w:proofErr w:type="gramEnd"/>
      <w:r w:rsidRPr="001E309C">
        <w:rPr>
          <w:rFonts w:ascii="Arial" w:hAnsi="Arial" w:cs="Arial"/>
          <w:szCs w:val="20"/>
          <w:lang w:val="pt-PT"/>
        </w:rPr>
        <w:t>9,6 milhões, um ligeiro aumento face aos €9,1 milhões do ano anterior.</w:t>
      </w:r>
    </w:p>
    <w:p w:rsidR="00EF7897" w:rsidRPr="001E309C" w:rsidRDefault="00941CCA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  <w:r w:rsidRPr="001E309C">
        <w:rPr>
          <w:rFonts w:ascii="Arial" w:hAnsi="Arial" w:cs="Arial"/>
          <w:szCs w:val="20"/>
          <w:lang w:val="pt-PT"/>
        </w:rPr>
        <w:t>O</w:t>
      </w:r>
      <w:r w:rsidR="00636BBF" w:rsidRPr="001E309C">
        <w:rPr>
          <w:rFonts w:ascii="Arial" w:hAnsi="Arial" w:cs="Arial"/>
          <w:szCs w:val="20"/>
          <w:lang w:val="pt-PT"/>
        </w:rPr>
        <w:t xml:space="preserve"> </w:t>
      </w:r>
      <w:r w:rsidR="00636BBF" w:rsidRPr="001E309C">
        <w:rPr>
          <w:rFonts w:ascii="Arial" w:hAnsi="Arial" w:cs="Arial"/>
          <w:b/>
          <w:szCs w:val="20"/>
          <w:lang w:val="pt-PT"/>
        </w:rPr>
        <w:t>produto bancário</w:t>
      </w:r>
      <w:r w:rsidR="00636BBF" w:rsidRPr="001E309C">
        <w:rPr>
          <w:rFonts w:ascii="Arial" w:hAnsi="Arial" w:cs="Arial"/>
          <w:szCs w:val="20"/>
          <w:lang w:val="pt-PT"/>
        </w:rPr>
        <w:t xml:space="preserve"> </w:t>
      </w:r>
      <w:r w:rsidRPr="001E309C">
        <w:rPr>
          <w:rFonts w:ascii="Arial" w:hAnsi="Arial" w:cs="Arial"/>
          <w:szCs w:val="20"/>
          <w:lang w:val="pt-PT"/>
        </w:rPr>
        <w:t>aumentou para</w:t>
      </w:r>
      <w:r w:rsidR="00636BBF" w:rsidRPr="001E309C">
        <w:rPr>
          <w:rFonts w:ascii="Arial" w:hAnsi="Arial" w:cs="Arial"/>
          <w:szCs w:val="20"/>
          <w:lang w:val="pt-PT"/>
        </w:rPr>
        <w:t xml:space="preserve"> €</w:t>
      </w:r>
      <w:r w:rsidR="00BC0E1A" w:rsidRPr="001E309C">
        <w:rPr>
          <w:rFonts w:ascii="Arial" w:hAnsi="Arial" w:cs="Arial"/>
          <w:szCs w:val="20"/>
          <w:lang w:val="pt-PT"/>
        </w:rPr>
        <w:t>2</w:t>
      </w:r>
      <w:r w:rsidRPr="001E309C">
        <w:rPr>
          <w:rFonts w:ascii="Arial" w:hAnsi="Arial" w:cs="Arial"/>
          <w:szCs w:val="20"/>
          <w:lang w:val="pt-PT"/>
        </w:rPr>
        <w:t>8,1</w:t>
      </w:r>
      <w:r w:rsidR="00636BBF" w:rsidRPr="001E309C">
        <w:rPr>
          <w:rFonts w:ascii="Arial" w:hAnsi="Arial" w:cs="Arial"/>
          <w:szCs w:val="20"/>
          <w:lang w:val="pt-PT"/>
        </w:rPr>
        <w:t xml:space="preserve"> milhões</w:t>
      </w:r>
      <w:r w:rsidRPr="001E309C">
        <w:rPr>
          <w:rFonts w:ascii="Arial" w:hAnsi="Arial" w:cs="Arial"/>
          <w:szCs w:val="20"/>
          <w:lang w:val="pt-PT"/>
        </w:rPr>
        <w:t xml:space="preserve"> (€24,5 milhões no período homologo)</w:t>
      </w:r>
      <w:r w:rsidR="00636BBF" w:rsidRPr="001E309C">
        <w:rPr>
          <w:rFonts w:ascii="Arial" w:hAnsi="Arial" w:cs="Arial"/>
          <w:szCs w:val="20"/>
          <w:lang w:val="pt-PT"/>
        </w:rPr>
        <w:t xml:space="preserve">.  </w:t>
      </w:r>
    </w:p>
    <w:p w:rsidR="00636BBF" w:rsidRPr="001E309C" w:rsidRDefault="00636BBF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  <w:r w:rsidRPr="001E309C">
        <w:rPr>
          <w:rFonts w:ascii="Arial" w:hAnsi="Arial" w:cs="Arial"/>
          <w:szCs w:val="20"/>
          <w:lang w:val="pt-PT"/>
        </w:rPr>
        <w:t xml:space="preserve">Os </w:t>
      </w:r>
      <w:r w:rsidRPr="001E309C">
        <w:rPr>
          <w:rFonts w:ascii="Arial" w:hAnsi="Arial" w:cs="Arial"/>
          <w:b/>
          <w:bCs/>
          <w:szCs w:val="20"/>
          <w:lang w:val="pt-PT"/>
        </w:rPr>
        <w:t>custos operacionais</w:t>
      </w:r>
      <w:r w:rsidRPr="001E309C">
        <w:rPr>
          <w:rFonts w:ascii="Arial" w:hAnsi="Arial" w:cs="Arial"/>
          <w:bCs/>
          <w:szCs w:val="20"/>
          <w:lang w:val="pt-PT"/>
        </w:rPr>
        <w:t xml:space="preserve"> </w:t>
      </w:r>
      <w:r w:rsidR="00941CCA" w:rsidRPr="001E309C">
        <w:rPr>
          <w:rFonts w:ascii="Arial" w:hAnsi="Arial" w:cs="Arial"/>
          <w:bCs/>
          <w:szCs w:val="20"/>
          <w:lang w:val="pt-PT"/>
        </w:rPr>
        <w:t>mantiveram-se</w:t>
      </w:r>
      <w:r w:rsidR="00F46E89" w:rsidRPr="001E309C">
        <w:rPr>
          <w:rFonts w:ascii="Arial" w:hAnsi="Arial" w:cs="Arial"/>
          <w:bCs/>
          <w:szCs w:val="20"/>
          <w:lang w:val="pt-PT"/>
        </w:rPr>
        <w:t xml:space="preserve"> </w:t>
      </w:r>
      <w:r w:rsidR="00941CCA" w:rsidRPr="001E309C">
        <w:rPr>
          <w:rFonts w:ascii="Arial" w:hAnsi="Arial" w:cs="Arial"/>
          <w:bCs/>
          <w:szCs w:val="20"/>
          <w:lang w:val="pt-PT"/>
        </w:rPr>
        <w:t>em</w:t>
      </w:r>
      <w:r w:rsidR="00F46E89" w:rsidRPr="001E309C">
        <w:rPr>
          <w:rFonts w:ascii="Arial" w:hAnsi="Arial" w:cs="Arial"/>
          <w:bCs/>
          <w:szCs w:val="20"/>
          <w:lang w:val="pt-PT"/>
        </w:rPr>
        <w:t xml:space="preserve"> </w:t>
      </w:r>
      <w:r w:rsidRPr="001E309C">
        <w:rPr>
          <w:rFonts w:ascii="Arial" w:hAnsi="Arial" w:cs="Arial"/>
          <w:szCs w:val="20"/>
          <w:lang w:val="pt-PT"/>
        </w:rPr>
        <w:t>€11,</w:t>
      </w:r>
      <w:r w:rsidR="00F46E89" w:rsidRPr="001E309C">
        <w:rPr>
          <w:rFonts w:ascii="Arial" w:hAnsi="Arial" w:cs="Arial"/>
          <w:szCs w:val="20"/>
          <w:lang w:val="pt-PT"/>
        </w:rPr>
        <w:t>6</w:t>
      </w:r>
      <w:r w:rsidRPr="001E309C">
        <w:rPr>
          <w:rFonts w:ascii="Arial" w:hAnsi="Arial" w:cs="Arial"/>
          <w:szCs w:val="20"/>
          <w:lang w:val="pt-PT"/>
        </w:rPr>
        <w:t xml:space="preserve"> milhões</w:t>
      </w:r>
      <w:r w:rsidR="00941CCA" w:rsidRPr="001E309C">
        <w:rPr>
          <w:rFonts w:ascii="Arial" w:hAnsi="Arial" w:cs="Arial"/>
          <w:szCs w:val="20"/>
          <w:lang w:val="pt-PT"/>
        </w:rPr>
        <w:t>, tendo as imparidades e provisões registado uma redução dos €4,7 milhões no primeiro semestre de 2020 para €0,8 milhões</w:t>
      </w:r>
      <w:r w:rsidRPr="001E309C">
        <w:rPr>
          <w:rFonts w:ascii="Arial" w:hAnsi="Arial" w:cs="Arial"/>
          <w:szCs w:val="20"/>
          <w:lang w:val="pt-PT"/>
        </w:rPr>
        <w:t>.</w:t>
      </w:r>
    </w:p>
    <w:p w:rsidR="00636BBF" w:rsidRPr="001E309C" w:rsidRDefault="00636BBF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  <w:r w:rsidRPr="001E309C">
        <w:rPr>
          <w:rFonts w:ascii="Arial" w:hAnsi="Arial" w:cs="Arial"/>
          <w:szCs w:val="20"/>
          <w:lang w:val="pt-PT"/>
        </w:rPr>
        <w:t xml:space="preserve">Os </w:t>
      </w:r>
      <w:r w:rsidRPr="001E309C">
        <w:rPr>
          <w:rFonts w:ascii="Arial" w:hAnsi="Arial" w:cs="Arial"/>
          <w:b/>
          <w:bCs/>
          <w:szCs w:val="20"/>
          <w:lang w:val="pt-PT"/>
        </w:rPr>
        <w:t xml:space="preserve">ativos totais </w:t>
      </w:r>
      <w:r w:rsidRPr="001E309C">
        <w:rPr>
          <w:rFonts w:ascii="Arial" w:hAnsi="Arial" w:cs="Arial"/>
          <w:szCs w:val="20"/>
          <w:lang w:val="pt-PT"/>
        </w:rPr>
        <w:t>consolidados registaram em 30 de junho de 20</w:t>
      </w:r>
      <w:r w:rsidR="0006547E" w:rsidRPr="001E309C">
        <w:rPr>
          <w:rFonts w:ascii="Arial" w:hAnsi="Arial" w:cs="Arial"/>
          <w:szCs w:val="20"/>
          <w:lang w:val="pt-PT"/>
        </w:rPr>
        <w:t>2</w:t>
      </w:r>
      <w:r w:rsidR="00124451" w:rsidRPr="001E309C">
        <w:rPr>
          <w:rFonts w:ascii="Arial" w:hAnsi="Arial" w:cs="Arial"/>
          <w:szCs w:val="20"/>
          <w:lang w:val="pt-PT"/>
        </w:rPr>
        <w:t>1</w:t>
      </w:r>
      <w:r w:rsidRPr="001E309C">
        <w:rPr>
          <w:rFonts w:ascii="Arial" w:hAnsi="Arial" w:cs="Arial"/>
          <w:szCs w:val="20"/>
          <w:lang w:val="pt-PT"/>
        </w:rPr>
        <w:t xml:space="preserve"> o valor de €2.</w:t>
      </w:r>
      <w:r w:rsidR="0006547E" w:rsidRPr="001E309C">
        <w:rPr>
          <w:rFonts w:ascii="Arial" w:hAnsi="Arial" w:cs="Arial"/>
          <w:szCs w:val="20"/>
          <w:lang w:val="pt-PT"/>
        </w:rPr>
        <w:t>0</w:t>
      </w:r>
      <w:r w:rsidR="00124451" w:rsidRPr="001E309C">
        <w:rPr>
          <w:rFonts w:ascii="Arial" w:hAnsi="Arial" w:cs="Arial"/>
          <w:szCs w:val="20"/>
          <w:lang w:val="pt-PT"/>
        </w:rPr>
        <w:t xml:space="preserve">55 </w:t>
      </w:r>
      <w:r w:rsidRPr="001E309C">
        <w:rPr>
          <w:rFonts w:ascii="Arial" w:hAnsi="Arial" w:cs="Arial"/>
          <w:szCs w:val="20"/>
          <w:lang w:val="pt-PT"/>
        </w:rPr>
        <w:t>milhões</w:t>
      </w:r>
      <w:r w:rsidR="004D7A97" w:rsidRPr="001E309C">
        <w:rPr>
          <w:rFonts w:ascii="Arial" w:hAnsi="Arial" w:cs="Arial"/>
          <w:szCs w:val="20"/>
          <w:lang w:val="pt-PT"/>
        </w:rPr>
        <w:t xml:space="preserve"> e os</w:t>
      </w:r>
      <w:r w:rsidR="003E6294" w:rsidRPr="001E309C">
        <w:rPr>
          <w:rFonts w:ascii="Arial" w:hAnsi="Arial" w:cs="Arial"/>
          <w:szCs w:val="20"/>
          <w:lang w:val="pt-PT"/>
        </w:rPr>
        <w:t xml:space="preserve"> </w:t>
      </w:r>
      <w:r w:rsidR="003E6294" w:rsidRPr="001E309C">
        <w:rPr>
          <w:rFonts w:ascii="Arial" w:hAnsi="Arial" w:cs="Arial"/>
          <w:b/>
          <w:szCs w:val="20"/>
          <w:lang w:val="pt-PT"/>
        </w:rPr>
        <w:t>capitais próprios</w:t>
      </w:r>
      <w:r w:rsidR="003E6294" w:rsidRPr="001E309C">
        <w:rPr>
          <w:rFonts w:ascii="Arial" w:hAnsi="Arial" w:cs="Arial"/>
          <w:szCs w:val="20"/>
          <w:lang w:val="pt-PT"/>
        </w:rPr>
        <w:t xml:space="preserve"> cifraram-se em € </w:t>
      </w:r>
      <w:r w:rsidR="00124451" w:rsidRPr="001E309C">
        <w:rPr>
          <w:rFonts w:ascii="Arial" w:hAnsi="Arial" w:cs="Arial"/>
          <w:szCs w:val="20"/>
          <w:lang w:val="pt-PT"/>
        </w:rPr>
        <w:t>490</w:t>
      </w:r>
      <w:r w:rsidR="003E6294" w:rsidRPr="001E309C">
        <w:rPr>
          <w:rFonts w:ascii="Arial" w:hAnsi="Arial" w:cs="Arial"/>
          <w:szCs w:val="20"/>
          <w:lang w:val="pt-PT"/>
        </w:rPr>
        <w:t xml:space="preserve"> milhões.</w:t>
      </w:r>
    </w:p>
    <w:p w:rsidR="00636BBF" w:rsidRPr="001E309C" w:rsidRDefault="00B23DEF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  <w:r w:rsidRPr="001E309C">
        <w:rPr>
          <w:rFonts w:ascii="Arial" w:hAnsi="Arial" w:cs="Arial"/>
          <w:szCs w:val="20"/>
          <w:lang w:val="pt-PT"/>
        </w:rPr>
        <w:t>Em 202</w:t>
      </w:r>
      <w:r w:rsidR="00124451" w:rsidRPr="001E309C">
        <w:rPr>
          <w:rFonts w:ascii="Arial" w:hAnsi="Arial" w:cs="Arial"/>
          <w:szCs w:val="20"/>
          <w:lang w:val="pt-PT"/>
        </w:rPr>
        <w:t>1</w:t>
      </w:r>
      <w:r w:rsidRPr="001E309C">
        <w:rPr>
          <w:rFonts w:ascii="Arial" w:hAnsi="Arial" w:cs="Arial"/>
          <w:szCs w:val="20"/>
          <w:lang w:val="pt-PT"/>
        </w:rPr>
        <w:t xml:space="preserve"> o Banco tem prosseguido </w:t>
      </w:r>
      <w:r w:rsidR="00636BBF" w:rsidRPr="001E309C">
        <w:rPr>
          <w:rFonts w:ascii="Arial" w:hAnsi="Arial" w:cs="Arial"/>
          <w:szCs w:val="20"/>
          <w:lang w:val="pt-PT"/>
        </w:rPr>
        <w:t>a</w:t>
      </w:r>
      <w:r w:rsidRPr="001E309C">
        <w:rPr>
          <w:rFonts w:ascii="Arial" w:hAnsi="Arial" w:cs="Arial"/>
          <w:szCs w:val="20"/>
          <w:lang w:val="pt-PT"/>
        </w:rPr>
        <w:t>s</w:t>
      </w:r>
      <w:r w:rsidR="00636BBF" w:rsidRPr="001E309C">
        <w:rPr>
          <w:rFonts w:ascii="Arial" w:hAnsi="Arial" w:cs="Arial"/>
          <w:szCs w:val="20"/>
          <w:lang w:val="pt-PT"/>
        </w:rPr>
        <w:t xml:space="preserve"> sua</w:t>
      </w:r>
      <w:r w:rsidRPr="001E309C">
        <w:rPr>
          <w:rFonts w:ascii="Arial" w:hAnsi="Arial" w:cs="Arial"/>
          <w:szCs w:val="20"/>
          <w:lang w:val="pt-PT"/>
        </w:rPr>
        <w:t>s</w:t>
      </w:r>
      <w:r w:rsidR="00636BBF" w:rsidRPr="001E309C">
        <w:rPr>
          <w:rFonts w:ascii="Arial" w:hAnsi="Arial" w:cs="Arial"/>
          <w:szCs w:val="20"/>
          <w:lang w:val="pt-PT"/>
        </w:rPr>
        <w:t xml:space="preserve"> </w:t>
      </w:r>
      <w:r w:rsidR="0082037A" w:rsidRPr="001E309C">
        <w:rPr>
          <w:rFonts w:ascii="Arial" w:hAnsi="Arial" w:cs="Arial"/>
          <w:szCs w:val="20"/>
          <w:lang w:val="pt-PT"/>
        </w:rPr>
        <w:t>atividades nas</w:t>
      </w:r>
      <w:r w:rsidR="00636BBF" w:rsidRPr="001E309C">
        <w:rPr>
          <w:rFonts w:ascii="Arial" w:hAnsi="Arial" w:cs="Arial"/>
          <w:szCs w:val="20"/>
          <w:lang w:val="pt-PT"/>
        </w:rPr>
        <w:t xml:space="preserve"> várias áreas em que opera, </w:t>
      </w:r>
      <w:r w:rsidR="0092334F" w:rsidRPr="001E309C">
        <w:rPr>
          <w:rFonts w:ascii="Arial" w:hAnsi="Arial" w:cs="Arial"/>
          <w:spacing w:val="4"/>
          <w:szCs w:val="20"/>
        </w:rPr>
        <w:t xml:space="preserve">focando-se mais nas atividades não intensivas em capital - operações de renda fixa em mercados de capitais, prestação de serviços de assessoria financeira e </w:t>
      </w:r>
      <w:r w:rsidR="0092334F" w:rsidRPr="001E309C">
        <w:rPr>
          <w:rFonts w:ascii="Arial" w:hAnsi="Arial" w:cs="Arial"/>
          <w:i/>
          <w:spacing w:val="4"/>
          <w:szCs w:val="20"/>
        </w:rPr>
        <w:t>Private Banking</w:t>
      </w:r>
      <w:r w:rsidR="0092334F" w:rsidRPr="001E309C">
        <w:rPr>
          <w:rFonts w:ascii="Arial" w:hAnsi="Arial" w:cs="Arial"/>
          <w:spacing w:val="4"/>
          <w:szCs w:val="20"/>
        </w:rPr>
        <w:t>, incluindo a Consultoria para Investimentos.</w:t>
      </w:r>
      <w:r w:rsidR="00636BBF" w:rsidRPr="001E309C">
        <w:rPr>
          <w:rFonts w:ascii="Arial" w:hAnsi="Arial" w:cs="Arial"/>
          <w:szCs w:val="20"/>
          <w:lang w:val="pt-PT"/>
        </w:rPr>
        <w:t xml:space="preserve"> </w:t>
      </w:r>
    </w:p>
    <w:p w:rsidR="0092334F" w:rsidRPr="001E309C" w:rsidRDefault="0092334F" w:rsidP="00E43DEF">
      <w:pPr>
        <w:tabs>
          <w:tab w:val="left" w:pos="851"/>
        </w:tabs>
        <w:spacing w:before="120" w:beforeAutospacing="0" w:after="240"/>
        <w:rPr>
          <w:rFonts w:ascii="Arial" w:eastAsiaTheme="minorHAnsi" w:hAnsi="Arial" w:cs="Arial"/>
          <w:spacing w:val="4"/>
          <w:szCs w:val="20"/>
          <w:lang w:val="pt-PT" w:eastAsia="en-US" w:bidi="ar-SA"/>
        </w:rPr>
      </w:pPr>
      <w:r w:rsidRPr="001E309C">
        <w:rPr>
          <w:rFonts w:ascii="Arial" w:hAnsi="Arial" w:cs="Arial"/>
          <w:spacing w:val="4"/>
          <w:szCs w:val="20"/>
        </w:rPr>
        <w:t xml:space="preserve">Está em curso um processo de fusão por incorporação do Banco Finantia Spain no Banco Finantia com a criação de uma sucursal do Banco Finantia em Espanha. A fusão vai permitir simplificar a organização do Grupo e reforçar a qualidade dos serviços prestados aos clientes dos dois países. Prevê-se que o processo esteja concluído no </w:t>
      </w:r>
      <w:r w:rsidR="00426C0E" w:rsidRPr="001E309C">
        <w:rPr>
          <w:rFonts w:ascii="Arial" w:hAnsi="Arial" w:cs="Arial"/>
          <w:spacing w:val="4"/>
          <w:szCs w:val="20"/>
        </w:rPr>
        <w:t>decurso</w:t>
      </w:r>
      <w:r w:rsidRPr="001E309C">
        <w:rPr>
          <w:rFonts w:ascii="Arial" w:hAnsi="Arial" w:cs="Arial"/>
          <w:spacing w:val="4"/>
          <w:szCs w:val="20"/>
        </w:rPr>
        <w:t xml:space="preserve"> de 2021. </w:t>
      </w:r>
    </w:p>
    <w:p w:rsidR="00AD7210" w:rsidRPr="001E309C" w:rsidRDefault="00AD7210" w:rsidP="00E43DEF">
      <w:pPr>
        <w:spacing w:before="120" w:beforeAutospacing="0" w:after="240"/>
        <w:rPr>
          <w:rFonts w:ascii="Arial" w:eastAsiaTheme="minorEastAsia" w:hAnsi="Arial" w:cs="Arial"/>
          <w:szCs w:val="20"/>
          <w:lang w:val="pt-PT" w:eastAsia="pt-PT" w:bidi="ar-SA"/>
        </w:rPr>
      </w:pPr>
      <w:r w:rsidRPr="001E309C">
        <w:rPr>
          <w:rFonts w:ascii="Arial" w:hAnsi="Arial" w:cs="Arial"/>
          <w:szCs w:val="20"/>
        </w:rPr>
        <w:t xml:space="preserve">De acordo com o Ranking 2020 “Top 1000 World Banks” efetuado pela revista britânica </w:t>
      </w:r>
      <w:r w:rsidRPr="001E309C">
        <w:rPr>
          <w:rFonts w:ascii="Arial" w:hAnsi="Arial" w:cs="Arial"/>
          <w:i/>
          <w:szCs w:val="20"/>
        </w:rPr>
        <w:t>The Banker</w:t>
      </w:r>
      <w:r w:rsidRPr="001E309C">
        <w:rPr>
          <w:rFonts w:ascii="Arial" w:hAnsi="Arial" w:cs="Arial"/>
          <w:szCs w:val="20"/>
        </w:rPr>
        <w:t xml:space="preserve">, o Banco Finantia é, de entre os </w:t>
      </w:r>
      <w:r w:rsidR="004D7A97" w:rsidRPr="001E309C">
        <w:rPr>
          <w:rFonts w:ascii="Arial" w:hAnsi="Arial" w:cs="Arial"/>
          <w:szCs w:val="20"/>
        </w:rPr>
        <w:t>2</w:t>
      </w:r>
      <w:r w:rsidR="002F2126">
        <w:rPr>
          <w:rFonts w:ascii="Arial" w:hAnsi="Arial" w:cs="Arial"/>
          <w:szCs w:val="20"/>
        </w:rPr>
        <w:t>3</w:t>
      </w:r>
      <w:r w:rsidRPr="001E309C">
        <w:rPr>
          <w:rFonts w:ascii="Arial" w:hAnsi="Arial" w:cs="Arial"/>
          <w:szCs w:val="20"/>
        </w:rPr>
        <w:t xml:space="preserve"> maiores bancos a operar </w:t>
      </w:r>
      <w:r w:rsidR="00F6646E" w:rsidRPr="001E309C">
        <w:rPr>
          <w:rFonts w:ascii="Arial" w:hAnsi="Arial" w:cs="Arial"/>
          <w:szCs w:val="20"/>
        </w:rPr>
        <w:t>na Península Ibérica</w:t>
      </w:r>
      <w:r w:rsidRPr="001E309C">
        <w:rPr>
          <w:rFonts w:ascii="Arial" w:hAnsi="Arial" w:cs="Arial"/>
          <w:szCs w:val="20"/>
        </w:rPr>
        <w:t xml:space="preserve"> incluídos naquela lista, o que apresenta rácios mais elevados de solidez financeira </w:t>
      </w:r>
      <w:r w:rsidRPr="001E309C">
        <w:rPr>
          <w:rFonts w:ascii="Arial" w:hAnsi="Arial" w:cs="Arial"/>
          <w:i/>
          <w:szCs w:val="20"/>
        </w:rPr>
        <w:t>(soundness)</w:t>
      </w:r>
      <w:r w:rsidR="002E6062" w:rsidRPr="001E309C">
        <w:rPr>
          <w:rFonts w:ascii="Arial" w:hAnsi="Arial" w:cs="Arial"/>
          <w:szCs w:val="20"/>
        </w:rPr>
        <w:t xml:space="preserve"> e melhor rentabilidade sobre os ativos (ROA).</w:t>
      </w:r>
    </w:p>
    <w:p w:rsidR="00C80E17" w:rsidRPr="001E309C" w:rsidRDefault="0092334F" w:rsidP="00E43DEF">
      <w:pPr>
        <w:spacing w:before="120" w:beforeAutospacing="0" w:after="240"/>
        <w:rPr>
          <w:rFonts w:ascii="Arial" w:hAnsi="Arial" w:cs="Arial"/>
          <w:szCs w:val="20"/>
          <w:lang w:val="pt-PT"/>
        </w:rPr>
      </w:pPr>
      <w:r w:rsidRPr="001E309C">
        <w:rPr>
          <w:rFonts w:ascii="Arial" w:hAnsi="Arial" w:cs="Arial"/>
          <w:szCs w:val="20"/>
          <w:lang w:val="pt-PT"/>
        </w:rPr>
        <w:t xml:space="preserve">Lisboa, </w:t>
      </w:r>
      <w:r w:rsidR="001E309C" w:rsidRPr="001E309C">
        <w:rPr>
          <w:rFonts w:ascii="Arial" w:hAnsi="Arial" w:cs="Arial"/>
          <w:szCs w:val="20"/>
          <w:lang w:val="pt-PT"/>
        </w:rPr>
        <w:t>11</w:t>
      </w:r>
      <w:r w:rsidRPr="001E309C">
        <w:rPr>
          <w:rFonts w:ascii="Arial" w:hAnsi="Arial" w:cs="Arial"/>
          <w:szCs w:val="20"/>
          <w:lang w:val="pt-PT"/>
        </w:rPr>
        <w:t xml:space="preserve"> de agosto de 2021 </w:t>
      </w:r>
    </w:p>
    <w:p w:rsidR="00636BBF" w:rsidRPr="001E309C" w:rsidRDefault="00636BBF" w:rsidP="00636BBF">
      <w:pPr>
        <w:rPr>
          <w:rFonts w:ascii="Arial" w:hAnsi="Arial" w:cs="Arial"/>
          <w:sz w:val="20"/>
          <w:szCs w:val="20"/>
          <w:lang w:val="pt-PT"/>
        </w:rPr>
      </w:pPr>
      <w:bookmarkStart w:id="0" w:name="_GoBack"/>
      <w:bookmarkEnd w:id="0"/>
    </w:p>
    <w:p w:rsidR="004B3208" w:rsidRPr="002C7C45" w:rsidRDefault="00180C2B" w:rsidP="002455CC">
      <w:pPr>
        <w:rPr>
          <w:rFonts w:ascii="Arial" w:hAnsi="Arial" w:cs="Arial"/>
          <w:color w:val="4D4D4D"/>
        </w:rPr>
      </w:pPr>
      <w:r w:rsidRPr="00180C2B">
        <w:rPr>
          <w:noProof/>
          <w:lang w:val="pt-PT" w:eastAsia="pt-PT" w:bidi="ar-SA"/>
        </w:rPr>
        <w:lastRenderedPageBreak/>
        <w:drawing>
          <wp:inline distT="0" distB="0" distL="0" distR="0">
            <wp:extent cx="5761990" cy="761658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61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208" w:rsidRPr="002C7C45" w:rsidSect="008C24F9">
      <w:headerReference w:type="even" r:id="rId9"/>
      <w:headerReference w:type="default" r:id="rId10"/>
      <w:headerReference w:type="first" r:id="rId11"/>
      <w:type w:val="continuous"/>
      <w:pgSz w:w="11910" w:h="16840"/>
      <w:pgMar w:top="1701" w:right="1418" w:bottom="170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2E1" w:rsidRDefault="008D62E1" w:rsidP="00CD6588">
      <w:r>
        <w:separator/>
      </w:r>
    </w:p>
  </w:endnote>
  <w:endnote w:type="continuationSeparator" w:id="0">
    <w:p w:rsidR="008D62E1" w:rsidRDefault="008D62E1" w:rsidP="00CD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800000AF" w:usb1="4000204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2E1" w:rsidRDefault="008D62E1" w:rsidP="00CD6588">
      <w:r>
        <w:separator/>
      </w:r>
    </w:p>
  </w:footnote>
  <w:footnote w:type="continuationSeparator" w:id="0">
    <w:p w:rsidR="008D62E1" w:rsidRDefault="008D62E1" w:rsidP="00CD6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88" w:rsidRDefault="008D62E1">
    <w:pPr>
      <w:pStyle w:val="Header"/>
    </w:pPr>
    <w:r>
      <w:rPr>
        <w:noProof/>
        <w:lang w:val="pt-PT" w:eastAsia="pt-P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352438" o:spid="_x0000_s2058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 de Carta Banco Finantia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88" w:rsidRDefault="008D62E1">
    <w:pPr>
      <w:pStyle w:val="Header"/>
    </w:pPr>
    <w:r>
      <w:rPr>
        <w:noProof/>
        <w:lang w:val="pt-PT" w:eastAsia="pt-P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352439" o:spid="_x0000_s2059" type="#_x0000_t75" style="position:absolute;left:0;text-align:left;margin-left:-70.9pt;margin-top:-85.2pt;width:595.45pt;height:841.9pt;z-index:-251656192;mso-position-horizontal-relative:margin;mso-position-vertical-relative:margin" o:allowincell="f">
          <v:imagedata r:id="rId1" o:title="Papel de Carta Banco Finantia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88" w:rsidRDefault="008D62E1">
    <w:pPr>
      <w:pStyle w:val="Header"/>
    </w:pPr>
    <w:r>
      <w:rPr>
        <w:noProof/>
        <w:lang w:val="pt-PT" w:eastAsia="pt-P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352437" o:spid="_x0000_s2057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 de Carta Banco Finantia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4D"/>
    <w:rsid w:val="0003757E"/>
    <w:rsid w:val="00047261"/>
    <w:rsid w:val="000613EF"/>
    <w:rsid w:val="0006547E"/>
    <w:rsid w:val="000C7AE0"/>
    <w:rsid w:val="000D7C9B"/>
    <w:rsid w:val="001141CD"/>
    <w:rsid w:val="00124451"/>
    <w:rsid w:val="0017325B"/>
    <w:rsid w:val="0017635E"/>
    <w:rsid w:val="00180C2B"/>
    <w:rsid w:val="00187066"/>
    <w:rsid w:val="001C64BB"/>
    <w:rsid w:val="001D4215"/>
    <w:rsid w:val="001E309C"/>
    <w:rsid w:val="00204503"/>
    <w:rsid w:val="00224EF6"/>
    <w:rsid w:val="00231313"/>
    <w:rsid w:val="002455CC"/>
    <w:rsid w:val="00273CBC"/>
    <w:rsid w:val="00280127"/>
    <w:rsid w:val="002C7764"/>
    <w:rsid w:val="002C7C45"/>
    <w:rsid w:val="002E6062"/>
    <w:rsid w:val="002F2126"/>
    <w:rsid w:val="0032194D"/>
    <w:rsid w:val="003C65B8"/>
    <w:rsid w:val="003D0BB0"/>
    <w:rsid w:val="003E5380"/>
    <w:rsid w:val="003E6294"/>
    <w:rsid w:val="00421C9B"/>
    <w:rsid w:val="00426C0E"/>
    <w:rsid w:val="00442404"/>
    <w:rsid w:val="00454037"/>
    <w:rsid w:val="004723EF"/>
    <w:rsid w:val="004844D0"/>
    <w:rsid w:val="00494697"/>
    <w:rsid w:val="004B3208"/>
    <w:rsid w:val="004D7A97"/>
    <w:rsid w:val="00507A25"/>
    <w:rsid w:val="005311F1"/>
    <w:rsid w:val="00612E65"/>
    <w:rsid w:val="00636BBF"/>
    <w:rsid w:val="0064410F"/>
    <w:rsid w:val="006E24E8"/>
    <w:rsid w:val="00740599"/>
    <w:rsid w:val="00743462"/>
    <w:rsid w:val="00747A65"/>
    <w:rsid w:val="0075412E"/>
    <w:rsid w:val="00754AE9"/>
    <w:rsid w:val="00765362"/>
    <w:rsid w:val="0079375C"/>
    <w:rsid w:val="007D738C"/>
    <w:rsid w:val="007E51AD"/>
    <w:rsid w:val="0082037A"/>
    <w:rsid w:val="00853F05"/>
    <w:rsid w:val="008A0607"/>
    <w:rsid w:val="008C24F9"/>
    <w:rsid w:val="008D62E1"/>
    <w:rsid w:val="008E07D0"/>
    <w:rsid w:val="00920C58"/>
    <w:rsid w:val="0092334F"/>
    <w:rsid w:val="00925AE0"/>
    <w:rsid w:val="00941CCA"/>
    <w:rsid w:val="009740F0"/>
    <w:rsid w:val="009A31C8"/>
    <w:rsid w:val="009C161D"/>
    <w:rsid w:val="009C6214"/>
    <w:rsid w:val="009D7966"/>
    <w:rsid w:val="00A00F22"/>
    <w:rsid w:val="00A21417"/>
    <w:rsid w:val="00A34190"/>
    <w:rsid w:val="00A46491"/>
    <w:rsid w:val="00A50288"/>
    <w:rsid w:val="00AA0C1C"/>
    <w:rsid w:val="00AD7210"/>
    <w:rsid w:val="00B0491C"/>
    <w:rsid w:val="00B23DEF"/>
    <w:rsid w:val="00B332C9"/>
    <w:rsid w:val="00B52340"/>
    <w:rsid w:val="00B615CE"/>
    <w:rsid w:val="00B722D3"/>
    <w:rsid w:val="00B94963"/>
    <w:rsid w:val="00BC0E1A"/>
    <w:rsid w:val="00C25F08"/>
    <w:rsid w:val="00C37857"/>
    <w:rsid w:val="00C43CCE"/>
    <w:rsid w:val="00C47992"/>
    <w:rsid w:val="00C77FF9"/>
    <w:rsid w:val="00C80E17"/>
    <w:rsid w:val="00C86D1E"/>
    <w:rsid w:val="00CB7506"/>
    <w:rsid w:val="00CD2300"/>
    <w:rsid w:val="00CD6588"/>
    <w:rsid w:val="00D07126"/>
    <w:rsid w:val="00D41F96"/>
    <w:rsid w:val="00E04797"/>
    <w:rsid w:val="00E22F07"/>
    <w:rsid w:val="00E43DEF"/>
    <w:rsid w:val="00E53C95"/>
    <w:rsid w:val="00EC11C5"/>
    <w:rsid w:val="00EF7897"/>
    <w:rsid w:val="00F030FE"/>
    <w:rsid w:val="00F46E89"/>
    <w:rsid w:val="00F54DB8"/>
    <w:rsid w:val="00F64159"/>
    <w:rsid w:val="00F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C527CE5"/>
  <w15:docId w15:val="{3E334E61-4003-48E9-967C-66D95F39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60" w:line="27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val="pt-BR" w:eastAsia="pt-BR" w:bidi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658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88"/>
    <w:rPr>
      <w:rFonts w:ascii="Helvetica Neue" w:eastAsia="Helvetica Neue" w:hAnsi="Helvetica Neue" w:cs="Helvetica Neue"/>
      <w:lang w:val="pt-BR" w:eastAsia="pt-BR" w:bidi="pt-BR"/>
    </w:rPr>
  </w:style>
  <w:style w:type="paragraph" w:styleId="Footer">
    <w:name w:val="footer"/>
    <w:basedOn w:val="Normal"/>
    <w:link w:val="FooterChar"/>
    <w:uiPriority w:val="99"/>
    <w:unhideWhenUsed/>
    <w:rsid w:val="00CD658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88"/>
    <w:rPr>
      <w:rFonts w:ascii="Helvetica Neue" w:eastAsia="Helvetica Neue" w:hAnsi="Helvetica Neue" w:cs="Helvetica Neue"/>
      <w:lang w:val="pt-BR" w:eastAsia="pt-BR" w:bidi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C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C9B"/>
    <w:rPr>
      <w:rFonts w:ascii="Segoe UI" w:eastAsia="Helvetica Neue" w:hAnsi="Segoe UI" w:cs="Segoe UI"/>
      <w:sz w:val="18"/>
      <w:szCs w:val="18"/>
      <w:lang w:val="pt-BR" w:eastAsia="pt-BR" w:bidi="pt-BR"/>
    </w:rPr>
  </w:style>
  <w:style w:type="character" w:styleId="Hyperlink">
    <w:name w:val="Hyperlink"/>
    <w:basedOn w:val="DefaultParagraphFont"/>
    <w:uiPriority w:val="99"/>
    <w:unhideWhenUsed/>
    <w:rsid w:val="00636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nant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D5C8-DAA1-4E7F-84FA-5AE4097C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Papel Carta Finantia_Todos.indd</vt:lpstr>
      <vt:lpstr>Papel Carta Finantia_Todos.indd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Carta Finantia_Todos.indd</dc:title>
  <dc:creator>Inês Lopes</dc:creator>
  <cp:lastModifiedBy>Carlos Estorninho</cp:lastModifiedBy>
  <cp:revision>2</cp:revision>
  <cp:lastPrinted>2020-07-22T15:40:00Z</cp:lastPrinted>
  <dcterms:created xsi:type="dcterms:W3CDTF">2021-12-28T15:21:00Z</dcterms:created>
  <dcterms:modified xsi:type="dcterms:W3CDTF">2021-12-28T15:21:00Z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2018-11-27T00:00:00Z</vt:filetime>
  </property>
</Properties>
</file>